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BM Plex Sans" w:cs="IBM Plex Sans" w:eastAsia="IBM Plex Sans" w:hAnsi="IBM Plex Sans"/>
          <w:b w:val="1"/>
          <w:sz w:val="36"/>
          <w:szCs w:val="36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36"/>
          <w:szCs w:val="36"/>
          <w:rtl w:val="0"/>
        </w:rPr>
        <w:t xml:space="preserve">Spring Validation Demo Test Plan</w:t>
      </w:r>
    </w:p>
    <w:p w:rsidR="00000000" w:rsidDel="00000000" w:rsidP="00000000" w:rsidRDefault="00000000" w:rsidRPr="00000000" w14:paraId="00000002">
      <w:pPr>
        <w:rPr>
          <w:rFonts w:ascii="IBM Plex Sans" w:cs="IBM Plex Sans" w:eastAsia="IBM Plex Sans" w:hAnsi="IBM Plex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5220"/>
        <w:gridCol w:w="2625"/>
        <w:tblGridChange w:id="0">
          <w:tblGrid>
            <w:gridCol w:w="1500"/>
            <w:gridCol w:w="5220"/>
            <w:gridCol w:w="26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Test Title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widowControl w:val="0"/>
              <w:spacing w:after="0" w:before="0" w:line="240" w:lineRule="auto"/>
              <w:rPr>
                <w:rFonts w:ascii="IBM Plex Sans" w:cs="IBM Plex Sans" w:eastAsia="IBM Plex Sans" w:hAnsi="IBM Plex Sans"/>
                <w:b w:val="1"/>
                <w:color w:val="ff0000"/>
                <w:sz w:val="28"/>
                <w:szCs w:val="28"/>
                <w:highlight w:val="green"/>
              </w:rPr>
            </w:pPr>
            <w:bookmarkStart w:colFirst="0" w:colLast="0" w:name="_a56hmamfpxz3" w:id="0"/>
            <w:bookmarkEnd w:id="0"/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4.8 Spring Validation Demo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Objective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To demonstrate the capability of localizing and estimating depth through perceptual degradation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Elements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System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Fire Academy or NREC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Phoenix Pro, Lidar, Smoke bombs or fog machine, Smoke masks, Eye protection gear, Laptop with Smores software stack, heaters, power supply, test-setup items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Personnel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IBM Plex Sans" w:cs="IBM Plex Sans" w:eastAsia="IBM Plex Sans" w:hAnsi="IBM Plex Sans"/>
                  <w:color w:val="0000ee"/>
                  <w:sz w:val="24"/>
                  <w:szCs w:val="24"/>
                  <w:u w:val="single"/>
                  <w:rtl w:val="0"/>
                </w:rPr>
                <w:t xml:space="preserve">Aayush Fadia</w:t>
              </w:r>
            </w:hyperlink>
            <w:hyperlink r:id="rId7">
              <w:r w:rsidDel="00000000" w:rsidR="00000000" w:rsidRPr="00000000">
                <w:rPr>
                  <w:rFonts w:ascii="IBM Plex Sans" w:cs="IBM Plex Sans" w:eastAsia="IBM Plex Sans" w:hAnsi="IBM Plex Sans"/>
                  <w:color w:val="0000ee"/>
                  <w:sz w:val="24"/>
                  <w:szCs w:val="24"/>
                  <w:u w:val="single"/>
                  <w:rtl w:val="0"/>
                </w:rPr>
                <w:t xml:space="preserve">Abhishek Iyer</w:t>
              </w:r>
            </w:hyperlink>
            <w:hyperlink r:id="rId8">
              <w:r w:rsidDel="00000000" w:rsidR="00000000" w:rsidRPr="00000000">
                <w:rPr>
                  <w:rFonts w:ascii="IBM Plex Sans" w:cs="IBM Plex Sans" w:eastAsia="IBM Plex Sans" w:hAnsi="IBM Plex Sans"/>
                  <w:color w:val="0000ee"/>
                  <w:sz w:val="24"/>
                  <w:szCs w:val="24"/>
                  <w:u w:val="single"/>
                  <w:rtl w:val="0"/>
                </w:rPr>
                <w:t xml:space="preserve">Amy Jiang</w:t>
              </w:r>
            </w:hyperlink>
            <w:hyperlink r:id="rId9">
              <w:r w:rsidDel="00000000" w:rsidR="00000000" w:rsidRPr="00000000">
                <w:rPr>
                  <w:rFonts w:ascii="IBM Plex Sans" w:cs="IBM Plex Sans" w:eastAsia="IBM Plex Sans" w:hAnsi="IBM Plex Sans"/>
                  <w:color w:val="0000ee"/>
                  <w:sz w:val="24"/>
                  <w:szCs w:val="24"/>
                  <w:u w:val="single"/>
                  <w:rtl w:val="0"/>
                </w:rPr>
                <w:t xml:space="preserve">Ranai Srivastav</w:t>
              </w:r>
            </w:hyperlink>
            <w:hyperlink r:id="rId10">
              <w:r w:rsidDel="00000000" w:rsidR="00000000" w:rsidRPr="00000000">
                <w:rPr>
                  <w:rFonts w:ascii="IBM Plex Sans" w:cs="IBM Plex Sans" w:eastAsia="IBM Plex Sans" w:hAnsi="IBM Plex Sans"/>
                  <w:color w:val="0000ee"/>
                  <w:sz w:val="24"/>
                  <w:szCs w:val="24"/>
                  <w:u w:val="single"/>
                  <w:rtl w:val="0"/>
                </w:rPr>
                <w:t xml:space="preserve">Swastik Mahapatra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Procedure</w:t>
            </w:r>
          </w:p>
        </w:tc>
      </w:tr>
      <w:tr>
        <w:trPr>
          <w:cantSplit w:val="0"/>
          <w:trHeight w:val="1361.328125000000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Setup the test environment including power supply, smoke machine, drone platform, and audience visualization aids.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The test environment will be enclosed and smoke will be released until the desired environment is reached.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The test environment will have heaters and other objects placed throughout the testing area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The drone will proceed moving through the environment while mapping the environment and reporting dense depth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The drone will circle back to where it started from</w:t>
            </w:r>
          </w:p>
        </w:tc>
      </w:tr>
      <w:tr>
        <w:trPr>
          <w:cantSplit w:val="0"/>
          <w:trHeight w:val="384.33901881552674" w:hRule="atLeast"/>
          <w:tblHeader w:val="0"/>
        </w:trPr>
        <w:tc>
          <w:tcPr>
            <w:gridSpan w:val="2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Verification Criteria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Requirements Satisfied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The audience can see live (latency &lt; 200ms)of the sensor feeds through appropriate visualizations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Endpoint error &lt; 5m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Dense depth reconstruction is visually similar to true environment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PR.M.1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PR.M.2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PR.M.3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FR.D.2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FR.M.1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FR.M.2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NR.M.2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wastikm@andrew.cmu.edu" TargetMode="External"/><Relationship Id="rId9" Type="http://schemas.openxmlformats.org/officeDocument/2006/relationships/hyperlink" Target="mailto:ranais@andrew.cmu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afadia@andrew.cmu.edu" TargetMode="External"/><Relationship Id="rId7" Type="http://schemas.openxmlformats.org/officeDocument/2006/relationships/hyperlink" Target="mailto:abhishekiyer@cmu.edu" TargetMode="External"/><Relationship Id="rId8" Type="http://schemas.openxmlformats.org/officeDocument/2006/relationships/hyperlink" Target="mailto:amyjiang@andrew.cmu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